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4F8" w:rsidRPr="009B34F8" w:rsidRDefault="009B34F8" w:rsidP="009B34F8">
      <w:pPr>
        <w:pStyle w:val="Heading1"/>
        <w:rPr>
          <w:rFonts w:asciiTheme="minorHAnsi" w:hAnsiTheme="minorHAnsi" w:cstheme="minorHAnsi"/>
          <w:color w:val="212121"/>
          <w:sz w:val="24"/>
          <w:szCs w:val="24"/>
        </w:rPr>
      </w:pPr>
      <w:r w:rsidRPr="009B34F8">
        <w:rPr>
          <w:rFonts w:asciiTheme="minorHAnsi" w:hAnsiTheme="minorHAnsi" w:cstheme="minorHAnsi"/>
          <w:sz w:val="24"/>
          <w:szCs w:val="24"/>
        </w:rPr>
        <w:t>ISANA’s submission to Policy Consultation Paper - Visa Simplification: Transforming Australia’s Visa Syste</w:t>
      </w:r>
      <w:r w:rsidRPr="009B34F8">
        <w:rPr>
          <w:rFonts w:asciiTheme="minorHAnsi" w:hAnsiTheme="minorHAnsi" w:cstheme="minorHAnsi"/>
          <w:color w:val="212121"/>
          <w:sz w:val="24"/>
          <w:szCs w:val="24"/>
        </w:rPr>
        <w:t>m</w:t>
      </w:r>
    </w:p>
    <w:p w:rsidR="009B34F8" w:rsidRPr="009B34F8" w:rsidRDefault="009B34F8" w:rsidP="009B34F8">
      <w:pPr>
        <w:spacing w:after="0" w:line="240" w:lineRule="auto"/>
        <w:rPr>
          <w:rFonts w:asciiTheme="minorHAnsi" w:hAnsiTheme="minorHAnsi"/>
          <w:sz w:val="24"/>
          <w:szCs w:val="24"/>
        </w:rPr>
      </w:pPr>
      <w:r w:rsidRPr="009B34F8">
        <w:rPr>
          <w:rFonts w:asciiTheme="minorHAnsi" w:hAnsiTheme="minorHAnsi"/>
          <w:b/>
          <w:sz w:val="24"/>
          <w:szCs w:val="24"/>
        </w:rPr>
        <w:t>About ISANA: International Education Association</w:t>
      </w:r>
    </w:p>
    <w:p w:rsidR="009B34F8" w:rsidRPr="009B34F8" w:rsidRDefault="009B34F8" w:rsidP="009B34F8">
      <w:pPr>
        <w:spacing w:after="0" w:line="240" w:lineRule="auto"/>
        <w:rPr>
          <w:rFonts w:asciiTheme="minorHAnsi" w:hAnsiTheme="minorHAnsi"/>
          <w:sz w:val="24"/>
          <w:szCs w:val="24"/>
        </w:rPr>
      </w:pPr>
    </w:p>
    <w:p w:rsidR="009B34F8" w:rsidRPr="009B34F8" w:rsidRDefault="009B34F8" w:rsidP="009B34F8">
      <w:pPr>
        <w:spacing w:after="0" w:line="240" w:lineRule="auto"/>
        <w:rPr>
          <w:rFonts w:asciiTheme="minorHAnsi" w:hAnsiTheme="minorHAnsi"/>
          <w:sz w:val="24"/>
          <w:szCs w:val="24"/>
        </w:rPr>
      </w:pPr>
      <w:r w:rsidRPr="009B34F8">
        <w:rPr>
          <w:rFonts w:asciiTheme="minorHAnsi" w:hAnsiTheme="minorHAnsi"/>
          <w:sz w:val="24"/>
          <w:szCs w:val="24"/>
        </w:rPr>
        <w:t>ISANA: International Education Association is the national professional association that represents people working with international students in Australia. It is a well-respected membership body that has provided services to international students and the professional staff who work with them since 1989. ISANA is a voluntary organisation, comprising a National Council, State and Territory branches and a general membership, with all office bearers elected by members. ISANA has a robust branch incorporated in New Zealand with whom activities, events and resources are shared. The association plays a key role in contributing to improving international student experience through policy and practice.</w:t>
      </w:r>
    </w:p>
    <w:p w:rsidR="009B34F8" w:rsidRPr="009B34F8" w:rsidRDefault="009B34F8" w:rsidP="009B34F8">
      <w:pPr>
        <w:spacing w:after="0" w:line="240" w:lineRule="auto"/>
        <w:rPr>
          <w:rFonts w:asciiTheme="minorHAnsi" w:hAnsiTheme="minorHAnsi"/>
          <w:sz w:val="24"/>
          <w:szCs w:val="24"/>
        </w:rPr>
      </w:pPr>
    </w:p>
    <w:p w:rsidR="009B34F8" w:rsidRPr="009B34F8" w:rsidRDefault="009B34F8" w:rsidP="009B34F8">
      <w:pPr>
        <w:spacing w:after="0" w:line="240" w:lineRule="auto"/>
        <w:rPr>
          <w:rFonts w:asciiTheme="minorHAnsi" w:hAnsiTheme="minorHAnsi"/>
          <w:sz w:val="24"/>
          <w:szCs w:val="24"/>
        </w:rPr>
      </w:pPr>
      <w:r w:rsidRPr="009B34F8">
        <w:rPr>
          <w:rFonts w:asciiTheme="minorHAnsi" w:hAnsiTheme="minorHAnsi"/>
          <w:sz w:val="24"/>
          <w:szCs w:val="24"/>
        </w:rPr>
        <w:t xml:space="preserve">ISANA members work in universities, colleges and schools as well as with public and private organisations, making it unique as a cross-sectoral body engaging effectively with people working directly with students. Members are employed in administration, student support, compliance, policy, teaching and teaching support, in management and international education leadership roles. </w:t>
      </w:r>
    </w:p>
    <w:p w:rsidR="009B34F8" w:rsidRPr="009B34F8" w:rsidRDefault="009B34F8" w:rsidP="009B34F8">
      <w:pPr>
        <w:spacing w:after="0" w:line="240" w:lineRule="auto"/>
        <w:rPr>
          <w:rFonts w:asciiTheme="minorHAnsi" w:hAnsiTheme="minorHAnsi"/>
          <w:sz w:val="24"/>
          <w:szCs w:val="24"/>
        </w:rPr>
      </w:pPr>
    </w:p>
    <w:p w:rsidR="009B34F8" w:rsidRPr="009B34F8" w:rsidRDefault="009B34F8" w:rsidP="009B34F8">
      <w:pPr>
        <w:spacing w:after="0" w:line="240" w:lineRule="auto"/>
        <w:rPr>
          <w:rFonts w:asciiTheme="minorHAnsi" w:hAnsiTheme="minorHAnsi"/>
          <w:sz w:val="24"/>
          <w:szCs w:val="24"/>
        </w:rPr>
      </w:pPr>
      <w:r w:rsidRPr="009B34F8">
        <w:rPr>
          <w:rFonts w:asciiTheme="minorHAnsi" w:hAnsiTheme="minorHAnsi"/>
          <w:sz w:val="24"/>
          <w:szCs w:val="24"/>
        </w:rPr>
        <w:t>ISANA has a dynamic relationship with groups whose responsibilities connect with international students’ experience. It has a demonstrated record of collaboration with relevant organisations such as student representative organisations, government agencies, accommodation providers, police, fire, health, insurance, emergency services, community organisations and guardians. It is therefore responsive to issues that arise such as cultural adjustment, academic progress, health and wellbeing, safety and security, as well as the needs of younger students.</w:t>
      </w:r>
    </w:p>
    <w:p w:rsidR="009B34F8" w:rsidRPr="009B34F8" w:rsidRDefault="009B34F8" w:rsidP="009B34F8">
      <w:pPr>
        <w:spacing w:after="0" w:line="240" w:lineRule="auto"/>
        <w:rPr>
          <w:rFonts w:asciiTheme="minorHAnsi" w:hAnsiTheme="minorHAnsi"/>
          <w:sz w:val="24"/>
          <w:szCs w:val="24"/>
        </w:rPr>
      </w:pPr>
    </w:p>
    <w:p w:rsidR="009B34F8" w:rsidRPr="009B34F8" w:rsidRDefault="009B34F8" w:rsidP="009B34F8">
      <w:pPr>
        <w:spacing w:after="0" w:line="240" w:lineRule="auto"/>
        <w:rPr>
          <w:rFonts w:asciiTheme="minorHAnsi" w:hAnsiTheme="minorHAnsi"/>
          <w:sz w:val="24"/>
          <w:szCs w:val="24"/>
        </w:rPr>
      </w:pPr>
      <w:r w:rsidRPr="009B34F8">
        <w:rPr>
          <w:rFonts w:asciiTheme="minorHAnsi" w:hAnsiTheme="minorHAnsi"/>
          <w:sz w:val="24"/>
          <w:szCs w:val="24"/>
        </w:rPr>
        <w:t>ISANA has always taken an active interest in the development of government and institutional policy, and the impact of policy on international students. ISANA contributed significantly to the 2004 Evaluation of the ESOS Act 2000 prior to the development of the current National Code. It has engaged with government through a number of taskforce and consultative groups, contributing to dialogue relating to international student matters with our most recent contribution being a submission on the National Code draft review in June 20107.</w:t>
      </w:r>
    </w:p>
    <w:p w:rsidR="009B34F8" w:rsidRPr="009B34F8" w:rsidRDefault="009B34F8" w:rsidP="009B34F8">
      <w:pPr>
        <w:widowControl w:val="0"/>
        <w:autoSpaceDE w:val="0"/>
        <w:autoSpaceDN w:val="0"/>
        <w:adjustRightInd w:val="0"/>
        <w:spacing w:after="0" w:line="240" w:lineRule="auto"/>
        <w:rPr>
          <w:rFonts w:asciiTheme="minorHAnsi" w:hAnsiTheme="minorHAnsi"/>
          <w:color w:val="FFFFFF"/>
          <w:sz w:val="24"/>
          <w:szCs w:val="24"/>
        </w:rPr>
      </w:pPr>
      <w:r w:rsidRPr="009B34F8">
        <w:rPr>
          <w:rFonts w:asciiTheme="minorHAnsi" w:hAnsiTheme="minorHAnsi"/>
          <w:color w:val="FFFFFF"/>
          <w:sz w:val="24"/>
          <w:szCs w:val="24"/>
        </w:rPr>
        <w:t>National Strategy for International Education (201</w:t>
      </w:r>
    </w:p>
    <w:p w:rsidR="009B34F8" w:rsidRDefault="009B34F8" w:rsidP="009B34F8">
      <w:pPr>
        <w:widowControl w:val="0"/>
        <w:autoSpaceDE w:val="0"/>
        <w:autoSpaceDN w:val="0"/>
        <w:adjustRightInd w:val="0"/>
        <w:spacing w:after="0" w:line="240" w:lineRule="auto"/>
        <w:rPr>
          <w:rFonts w:asciiTheme="minorHAnsi" w:hAnsiTheme="minorHAnsi"/>
          <w:sz w:val="24"/>
          <w:szCs w:val="24"/>
        </w:rPr>
      </w:pPr>
      <w:r w:rsidRPr="009B34F8">
        <w:rPr>
          <w:rFonts w:asciiTheme="minorHAnsi" w:hAnsiTheme="minorHAnsi"/>
          <w:sz w:val="24"/>
          <w:szCs w:val="24"/>
        </w:rPr>
        <w:t xml:space="preserve">ISANA’s submission focusses on international students studying in </w:t>
      </w:r>
      <w:r>
        <w:rPr>
          <w:rFonts w:asciiTheme="minorHAnsi" w:hAnsiTheme="minorHAnsi"/>
          <w:sz w:val="24"/>
          <w:szCs w:val="24"/>
        </w:rPr>
        <w:t xml:space="preserve">the </w:t>
      </w:r>
      <w:r w:rsidRPr="009B34F8">
        <w:rPr>
          <w:rFonts w:asciiTheme="minorHAnsi" w:hAnsiTheme="minorHAnsi"/>
          <w:sz w:val="24"/>
          <w:szCs w:val="24"/>
        </w:rPr>
        <w:t>Australia</w:t>
      </w:r>
      <w:r>
        <w:rPr>
          <w:rFonts w:asciiTheme="minorHAnsi" w:hAnsiTheme="minorHAnsi"/>
          <w:sz w:val="24"/>
          <w:szCs w:val="24"/>
        </w:rPr>
        <w:t xml:space="preserve">n education system </w:t>
      </w:r>
      <w:r w:rsidRPr="009B34F8">
        <w:rPr>
          <w:rFonts w:asciiTheme="minorHAnsi" w:hAnsiTheme="minorHAnsi"/>
          <w:sz w:val="24"/>
          <w:szCs w:val="24"/>
        </w:rPr>
        <w:t>and their transition into Australia’s future labour force or further education.</w:t>
      </w:r>
    </w:p>
    <w:p w:rsidR="009B34F8" w:rsidRDefault="009B34F8" w:rsidP="009B34F8">
      <w:pPr>
        <w:widowControl w:val="0"/>
        <w:autoSpaceDE w:val="0"/>
        <w:autoSpaceDN w:val="0"/>
        <w:adjustRightInd w:val="0"/>
        <w:spacing w:after="0" w:line="240" w:lineRule="auto"/>
        <w:rPr>
          <w:rFonts w:asciiTheme="minorHAnsi" w:hAnsiTheme="minorHAnsi"/>
          <w:sz w:val="24"/>
          <w:szCs w:val="24"/>
        </w:rPr>
      </w:pPr>
    </w:p>
    <w:p w:rsidR="009B34F8" w:rsidRPr="004C3E5E" w:rsidRDefault="004C3208" w:rsidP="009B34F8">
      <w:pPr>
        <w:widowControl w:val="0"/>
        <w:autoSpaceDE w:val="0"/>
        <w:autoSpaceDN w:val="0"/>
        <w:adjustRightInd w:val="0"/>
        <w:spacing w:after="0" w:line="240" w:lineRule="auto"/>
        <w:rPr>
          <w:rFonts w:asciiTheme="minorHAnsi" w:hAnsiTheme="minorHAnsi"/>
          <w:b/>
          <w:sz w:val="24"/>
          <w:szCs w:val="24"/>
        </w:rPr>
      </w:pPr>
      <w:r w:rsidRPr="004C3E5E">
        <w:rPr>
          <w:rFonts w:asciiTheme="minorHAnsi" w:hAnsiTheme="minorHAnsi"/>
          <w:b/>
          <w:sz w:val="24"/>
          <w:szCs w:val="24"/>
        </w:rPr>
        <w:t>ISANA Submission</w:t>
      </w:r>
    </w:p>
    <w:p w:rsidR="004C3208" w:rsidRDefault="004C3208" w:rsidP="009B34F8">
      <w:pPr>
        <w:widowControl w:val="0"/>
        <w:autoSpaceDE w:val="0"/>
        <w:autoSpaceDN w:val="0"/>
        <w:adjustRightInd w:val="0"/>
        <w:spacing w:after="0" w:line="240" w:lineRule="auto"/>
        <w:rPr>
          <w:rFonts w:asciiTheme="minorHAnsi" w:hAnsiTheme="minorHAnsi"/>
          <w:sz w:val="24"/>
          <w:szCs w:val="24"/>
        </w:rPr>
      </w:pPr>
    </w:p>
    <w:p w:rsidR="0052660F" w:rsidRPr="00586DFD" w:rsidRDefault="00A94CA8" w:rsidP="0052660F">
      <w:pPr>
        <w:pStyle w:val="selectionshareable"/>
        <w:spacing w:before="150" w:beforeAutospacing="0" w:after="210" w:afterAutospacing="0"/>
        <w:rPr>
          <w:rFonts w:asciiTheme="minorHAnsi" w:hAnsiTheme="minorHAnsi" w:cstheme="minorHAnsi"/>
        </w:rPr>
      </w:pPr>
      <w:r>
        <w:rPr>
          <w:rFonts w:asciiTheme="minorHAnsi" w:hAnsiTheme="minorHAnsi"/>
        </w:rPr>
        <w:t xml:space="preserve">The international education </w:t>
      </w:r>
      <w:r w:rsidR="00E608A7">
        <w:rPr>
          <w:rFonts w:asciiTheme="minorHAnsi" w:hAnsiTheme="minorHAnsi"/>
        </w:rPr>
        <w:t xml:space="preserve">sector is important to the Australian economy as well as the education sector. </w:t>
      </w:r>
      <w:r w:rsidR="007C324A">
        <w:rPr>
          <w:rFonts w:asciiTheme="minorHAnsi" w:hAnsiTheme="minorHAnsi"/>
        </w:rPr>
        <w:t xml:space="preserve">The sector </w:t>
      </w:r>
      <w:r w:rsidR="0093264A">
        <w:rPr>
          <w:rFonts w:asciiTheme="minorHAnsi" w:hAnsiTheme="minorHAnsi"/>
        </w:rPr>
        <w:t>in 2016</w:t>
      </w:r>
      <w:r w:rsidR="007C324A">
        <w:rPr>
          <w:rFonts w:asciiTheme="minorHAnsi" w:hAnsiTheme="minorHAnsi"/>
        </w:rPr>
        <w:t xml:space="preserve"> </w:t>
      </w:r>
      <w:r w:rsidR="0052660F">
        <w:rPr>
          <w:rFonts w:asciiTheme="minorHAnsi" w:hAnsiTheme="minorHAnsi"/>
        </w:rPr>
        <w:t xml:space="preserve">was valued </w:t>
      </w:r>
      <w:r w:rsidR="0093264A">
        <w:rPr>
          <w:rFonts w:asciiTheme="minorHAnsi" w:hAnsiTheme="minorHAnsi" w:cstheme="minorHAnsi"/>
        </w:rPr>
        <w:t>in excess of $21</w:t>
      </w:r>
      <w:r w:rsidR="0052660F" w:rsidRPr="0052660F">
        <w:rPr>
          <w:rFonts w:asciiTheme="minorHAnsi" w:hAnsiTheme="minorHAnsi" w:cstheme="minorHAnsi"/>
        </w:rPr>
        <w:t> billion, confirming the industry’s status as Australia’s third-biggest earner and easily the largest services export</w:t>
      </w:r>
      <w:r w:rsidR="0093264A">
        <w:rPr>
          <w:rFonts w:asciiTheme="minorHAnsi" w:hAnsiTheme="minorHAnsi" w:cstheme="minorHAnsi"/>
          <w:sz w:val="29"/>
          <w:szCs w:val="29"/>
        </w:rPr>
        <w:t xml:space="preserve"> </w:t>
      </w:r>
      <w:r w:rsidR="00E112AB">
        <w:rPr>
          <w:rFonts w:asciiTheme="minorHAnsi" w:hAnsiTheme="minorHAnsi" w:cstheme="minorHAnsi"/>
          <w:sz w:val="22"/>
          <w:szCs w:val="22"/>
        </w:rPr>
        <w:t>(</w:t>
      </w:r>
      <w:r w:rsidR="0093264A" w:rsidRPr="00586DFD">
        <w:rPr>
          <w:rFonts w:asciiTheme="minorHAnsi" w:hAnsiTheme="minorHAnsi" w:cstheme="minorHAnsi"/>
        </w:rPr>
        <w:t>DFAT, 2016, Australia’s Top 25 Exports, Goods &amp; Services)</w:t>
      </w:r>
      <w:r w:rsidR="00061948" w:rsidRPr="00586DFD">
        <w:rPr>
          <w:rFonts w:asciiTheme="minorHAnsi" w:hAnsiTheme="minorHAnsi" w:cstheme="minorHAnsi"/>
        </w:rPr>
        <w:t>. International</w:t>
      </w:r>
      <w:r w:rsidR="007A0256">
        <w:rPr>
          <w:rFonts w:asciiTheme="minorHAnsi" w:hAnsiTheme="minorHAnsi" w:cstheme="minorHAnsi"/>
        </w:rPr>
        <w:t xml:space="preserve"> students provide much </w:t>
      </w:r>
      <w:r w:rsidR="007A0256">
        <w:rPr>
          <w:rFonts w:asciiTheme="minorHAnsi" w:hAnsiTheme="minorHAnsi" w:cstheme="minorHAnsi"/>
        </w:rPr>
        <w:lastRenderedPageBreak/>
        <w:t>needed fu</w:t>
      </w:r>
      <w:r w:rsidR="00061948" w:rsidRPr="00586DFD">
        <w:rPr>
          <w:rFonts w:asciiTheme="minorHAnsi" w:hAnsiTheme="minorHAnsi" w:cstheme="minorHAnsi"/>
        </w:rPr>
        <w:t>nds for education providers</w:t>
      </w:r>
      <w:r w:rsidR="007F2F97" w:rsidRPr="00586DFD">
        <w:rPr>
          <w:rFonts w:asciiTheme="minorHAnsi" w:hAnsiTheme="minorHAnsi" w:cstheme="minorHAnsi"/>
        </w:rPr>
        <w:t>’ operational budgets</w:t>
      </w:r>
      <w:r w:rsidR="007A0256">
        <w:rPr>
          <w:rFonts w:asciiTheme="minorHAnsi" w:hAnsiTheme="minorHAnsi" w:cstheme="minorHAnsi"/>
        </w:rPr>
        <w:t>, inject international perspectives into the classroom and contribute to the research and innovation of our universities.</w:t>
      </w:r>
    </w:p>
    <w:p w:rsidR="003C29AF" w:rsidRDefault="00F02F0C" w:rsidP="009B34F8">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ISANA agrees that complex </w:t>
      </w:r>
      <w:r w:rsidR="003C29AF">
        <w:rPr>
          <w:rFonts w:asciiTheme="minorHAnsi" w:hAnsiTheme="minorHAnsi"/>
          <w:sz w:val="24"/>
          <w:szCs w:val="24"/>
        </w:rPr>
        <w:t xml:space="preserve">visa systems are expensive </w:t>
      </w:r>
      <w:r>
        <w:rPr>
          <w:rFonts w:asciiTheme="minorHAnsi" w:hAnsiTheme="minorHAnsi"/>
          <w:sz w:val="24"/>
          <w:szCs w:val="24"/>
        </w:rPr>
        <w:t xml:space="preserve">to maintain and difficult to navigate. </w:t>
      </w:r>
      <w:r w:rsidR="00E55B50">
        <w:rPr>
          <w:rFonts w:asciiTheme="minorHAnsi" w:hAnsiTheme="minorHAnsi"/>
          <w:sz w:val="24"/>
          <w:szCs w:val="24"/>
        </w:rPr>
        <w:t>Different visa sub-classes for different levels of study particularly in packaged offers add costs to students and their families.</w:t>
      </w:r>
      <w:r w:rsidR="000D205B">
        <w:rPr>
          <w:rFonts w:asciiTheme="minorHAnsi" w:hAnsiTheme="minorHAnsi"/>
          <w:sz w:val="24"/>
          <w:szCs w:val="24"/>
        </w:rPr>
        <w:t xml:space="preserve">  The introduction of the Simplified Student Visa Framework (SSV) on 1 July 2016 consolidated the different student visa sub-classes into a single sub-class 500.</w:t>
      </w:r>
      <w:r w:rsidR="003C29AF">
        <w:rPr>
          <w:rFonts w:asciiTheme="minorHAnsi" w:hAnsiTheme="minorHAnsi"/>
          <w:sz w:val="24"/>
          <w:szCs w:val="24"/>
        </w:rPr>
        <w:t xml:space="preserve"> At the same time, </w:t>
      </w:r>
      <w:r w:rsidR="003C29AF" w:rsidRPr="00C801FC">
        <w:rPr>
          <w:rFonts w:asciiTheme="minorHAnsi" w:hAnsiTheme="minorHAnsi" w:cstheme="minorHAnsi"/>
          <w:sz w:val="24"/>
          <w:szCs w:val="24"/>
        </w:rPr>
        <w:t xml:space="preserve">post-study work opportunities – including both short-term and longer term skilled migration for eligible international student graduates </w:t>
      </w:r>
      <w:r w:rsidR="000D205B">
        <w:rPr>
          <w:rFonts w:asciiTheme="minorHAnsi" w:hAnsiTheme="minorHAnsi" w:cstheme="minorHAnsi"/>
          <w:sz w:val="24"/>
          <w:szCs w:val="24"/>
        </w:rPr>
        <w:t xml:space="preserve">were introduced and these have </w:t>
      </w:r>
      <w:r w:rsidR="003C29AF" w:rsidRPr="00C801FC">
        <w:rPr>
          <w:rFonts w:asciiTheme="minorHAnsi" w:hAnsiTheme="minorHAnsi" w:cstheme="minorHAnsi"/>
          <w:sz w:val="24"/>
          <w:szCs w:val="24"/>
        </w:rPr>
        <w:t xml:space="preserve">been very attractive to potential students. </w:t>
      </w:r>
      <w:r w:rsidR="003C29AF">
        <w:rPr>
          <w:rFonts w:asciiTheme="minorHAnsi" w:hAnsiTheme="minorHAnsi"/>
          <w:sz w:val="24"/>
          <w:szCs w:val="24"/>
        </w:rPr>
        <w:t xml:space="preserve">(De </w:t>
      </w:r>
      <w:proofErr w:type="spellStart"/>
      <w:r w:rsidR="003C29AF">
        <w:rPr>
          <w:rFonts w:asciiTheme="minorHAnsi" w:hAnsiTheme="minorHAnsi"/>
          <w:sz w:val="24"/>
          <w:szCs w:val="24"/>
        </w:rPr>
        <w:t>Loitte</w:t>
      </w:r>
      <w:proofErr w:type="spellEnd"/>
      <w:r w:rsidR="003C29AF">
        <w:rPr>
          <w:rFonts w:asciiTheme="minorHAnsi" w:hAnsiTheme="minorHAnsi"/>
          <w:sz w:val="24"/>
          <w:szCs w:val="24"/>
        </w:rPr>
        <w:t xml:space="preserve"> Economics, Growth and Opportunity in Australian International Education, December 2015). </w:t>
      </w:r>
      <w:r w:rsidR="00BE56A3">
        <w:rPr>
          <w:rFonts w:asciiTheme="minorHAnsi" w:hAnsiTheme="minorHAnsi"/>
          <w:sz w:val="24"/>
          <w:szCs w:val="24"/>
        </w:rPr>
        <w:t>T</w:t>
      </w:r>
      <w:r w:rsidR="007A0256">
        <w:rPr>
          <w:rFonts w:asciiTheme="minorHAnsi" w:hAnsiTheme="minorHAnsi"/>
          <w:sz w:val="24"/>
          <w:szCs w:val="24"/>
        </w:rPr>
        <w:t>ogether</w:t>
      </w:r>
      <w:r w:rsidR="00BE56A3">
        <w:rPr>
          <w:rFonts w:asciiTheme="minorHAnsi" w:hAnsiTheme="minorHAnsi"/>
          <w:sz w:val="24"/>
          <w:szCs w:val="24"/>
        </w:rPr>
        <w:t>, they have supported the appeal of studying in Australia.</w:t>
      </w:r>
    </w:p>
    <w:p w:rsidR="00441A8B" w:rsidRDefault="00441A8B" w:rsidP="009B34F8">
      <w:pPr>
        <w:widowControl w:val="0"/>
        <w:autoSpaceDE w:val="0"/>
        <w:autoSpaceDN w:val="0"/>
        <w:adjustRightInd w:val="0"/>
        <w:spacing w:after="0" w:line="240" w:lineRule="auto"/>
        <w:rPr>
          <w:rFonts w:asciiTheme="minorHAnsi" w:hAnsiTheme="minorHAnsi"/>
          <w:sz w:val="24"/>
          <w:szCs w:val="24"/>
        </w:rPr>
      </w:pPr>
    </w:p>
    <w:p w:rsidR="00BE56A3" w:rsidRPr="00BE56A3" w:rsidRDefault="00BE56A3" w:rsidP="009B34F8">
      <w:pPr>
        <w:widowControl w:val="0"/>
        <w:autoSpaceDE w:val="0"/>
        <w:autoSpaceDN w:val="0"/>
        <w:adjustRightInd w:val="0"/>
        <w:spacing w:after="0" w:line="240" w:lineRule="auto"/>
        <w:rPr>
          <w:rFonts w:asciiTheme="minorHAnsi" w:hAnsiTheme="minorHAnsi"/>
          <w:b/>
          <w:sz w:val="24"/>
          <w:szCs w:val="24"/>
        </w:rPr>
      </w:pPr>
      <w:r w:rsidRPr="00BE56A3">
        <w:rPr>
          <w:rFonts w:asciiTheme="minorHAnsi" w:hAnsiTheme="minorHAnsi"/>
          <w:b/>
          <w:sz w:val="24"/>
          <w:szCs w:val="24"/>
        </w:rPr>
        <w:t>Simplifying visas</w:t>
      </w:r>
    </w:p>
    <w:p w:rsidR="00441A8B" w:rsidRDefault="000D205B" w:rsidP="009B34F8">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The streamlining of the student visa process has indicated that rationalising</w:t>
      </w:r>
      <w:r w:rsidRPr="003C29AF">
        <w:rPr>
          <w:rFonts w:asciiTheme="minorHAnsi" w:hAnsiTheme="minorHAnsi"/>
          <w:sz w:val="24"/>
          <w:szCs w:val="24"/>
        </w:rPr>
        <w:t xml:space="preserve"> </w:t>
      </w:r>
      <w:r>
        <w:rPr>
          <w:rFonts w:asciiTheme="minorHAnsi" w:hAnsiTheme="minorHAnsi"/>
          <w:sz w:val="24"/>
          <w:szCs w:val="24"/>
        </w:rPr>
        <w:t xml:space="preserve">the visa process has had merits. </w:t>
      </w:r>
      <w:r w:rsidR="00441A8B">
        <w:rPr>
          <w:rFonts w:asciiTheme="minorHAnsi" w:hAnsiTheme="minorHAnsi"/>
          <w:sz w:val="24"/>
          <w:szCs w:val="24"/>
        </w:rPr>
        <w:t xml:space="preserve">The </w:t>
      </w:r>
      <w:r>
        <w:rPr>
          <w:rFonts w:asciiTheme="minorHAnsi" w:hAnsiTheme="minorHAnsi"/>
          <w:sz w:val="24"/>
          <w:szCs w:val="24"/>
        </w:rPr>
        <w:t xml:space="preserve">changes to the student visa sub-class </w:t>
      </w:r>
      <w:r w:rsidR="00F35D6C">
        <w:rPr>
          <w:rFonts w:asciiTheme="minorHAnsi" w:hAnsiTheme="minorHAnsi"/>
          <w:sz w:val="24"/>
          <w:szCs w:val="24"/>
        </w:rPr>
        <w:t xml:space="preserve">and the requirements for the visa </w:t>
      </w:r>
      <w:r w:rsidR="007A0256">
        <w:rPr>
          <w:rFonts w:asciiTheme="minorHAnsi" w:hAnsiTheme="minorHAnsi"/>
          <w:sz w:val="24"/>
          <w:szCs w:val="24"/>
        </w:rPr>
        <w:t xml:space="preserve">have also had implementation concerns and these must be considered. </w:t>
      </w:r>
    </w:p>
    <w:p w:rsidR="00DA4FAF" w:rsidRDefault="00DA4FAF" w:rsidP="009B34F8">
      <w:pPr>
        <w:widowControl w:val="0"/>
        <w:autoSpaceDE w:val="0"/>
        <w:autoSpaceDN w:val="0"/>
        <w:adjustRightInd w:val="0"/>
        <w:spacing w:after="0" w:line="240" w:lineRule="auto"/>
        <w:rPr>
          <w:rFonts w:asciiTheme="minorHAnsi" w:hAnsiTheme="minorHAnsi"/>
          <w:sz w:val="24"/>
          <w:szCs w:val="24"/>
        </w:rPr>
      </w:pPr>
    </w:p>
    <w:p w:rsidR="00295A60" w:rsidRDefault="00ED0D43" w:rsidP="00ED0D43">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The process for students to study in Australia involves checks by the education provider and education agent, a sponsor where the student is supported by a scholarship and the Department of Immigration and Border Protection (DIBP). </w:t>
      </w:r>
    </w:p>
    <w:p w:rsidR="00295A60" w:rsidRDefault="00295A60" w:rsidP="00295A60">
      <w:pPr>
        <w:widowControl w:val="0"/>
        <w:autoSpaceDE w:val="0"/>
        <w:autoSpaceDN w:val="0"/>
        <w:adjustRightInd w:val="0"/>
        <w:spacing w:after="0" w:line="240" w:lineRule="auto"/>
        <w:rPr>
          <w:rFonts w:asciiTheme="minorHAnsi" w:hAnsiTheme="minorHAnsi"/>
          <w:sz w:val="24"/>
          <w:szCs w:val="24"/>
        </w:rPr>
      </w:pPr>
    </w:p>
    <w:p w:rsidR="008B76E7" w:rsidRDefault="00295A60" w:rsidP="00295A60">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The SSVF/GTE process places the responsibility of selecting and offering admission to potential students on the education provider. This responsibility comes with strict requirements and failure to meet </w:t>
      </w:r>
      <w:r w:rsidR="007B6F86">
        <w:rPr>
          <w:rFonts w:asciiTheme="minorHAnsi" w:hAnsiTheme="minorHAnsi"/>
          <w:sz w:val="24"/>
          <w:szCs w:val="24"/>
        </w:rPr>
        <w:t>them</w:t>
      </w:r>
      <w:r>
        <w:rPr>
          <w:rFonts w:asciiTheme="minorHAnsi" w:hAnsiTheme="minorHAnsi"/>
          <w:sz w:val="24"/>
          <w:szCs w:val="24"/>
        </w:rPr>
        <w:t xml:space="preserve"> h</w:t>
      </w:r>
      <w:r w:rsidR="00E26067">
        <w:rPr>
          <w:rFonts w:asciiTheme="minorHAnsi" w:hAnsiTheme="minorHAnsi"/>
          <w:sz w:val="24"/>
          <w:szCs w:val="24"/>
        </w:rPr>
        <w:t>as implications on the provider’s risk rating.</w:t>
      </w:r>
      <w:r>
        <w:rPr>
          <w:rFonts w:asciiTheme="minorHAnsi" w:hAnsiTheme="minorHAnsi"/>
          <w:sz w:val="24"/>
          <w:szCs w:val="24"/>
        </w:rPr>
        <w:t xml:space="preserve"> </w:t>
      </w:r>
      <w:r w:rsidR="00E26067">
        <w:rPr>
          <w:rFonts w:asciiTheme="minorHAnsi" w:hAnsiTheme="minorHAnsi"/>
          <w:sz w:val="24"/>
          <w:szCs w:val="24"/>
        </w:rPr>
        <w:t xml:space="preserve">The rejection of student visa applications for the provider is one factor that negatively impacts on the provider’s risk rating. </w:t>
      </w:r>
    </w:p>
    <w:p w:rsidR="008B76E7" w:rsidRDefault="008B76E7" w:rsidP="00295A60">
      <w:pPr>
        <w:widowControl w:val="0"/>
        <w:autoSpaceDE w:val="0"/>
        <w:autoSpaceDN w:val="0"/>
        <w:adjustRightInd w:val="0"/>
        <w:spacing w:after="0" w:line="240" w:lineRule="auto"/>
        <w:rPr>
          <w:rFonts w:asciiTheme="minorHAnsi" w:hAnsiTheme="minorHAnsi"/>
          <w:sz w:val="24"/>
          <w:szCs w:val="24"/>
        </w:rPr>
      </w:pPr>
    </w:p>
    <w:p w:rsidR="00295A60" w:rsidRDefault="007B6F86" w:rsidP="00295A60">
      <w:pPr>
        <w:widowControl w:val="0"/>
        <w:autoSpaceDE w:val="0"/>
        <w:autoSpaceDN w:val="0"/>
        <w:adjustRightInd w:val="0"/>
        <w:spacing w:after="0" w:line="240" w:lineRule="auto"/>
        <w:rPr>
          <w:rFonts w:asciiTheme="minorHAnsi" w:hAnsiTheme="minorHAnsi"/>
          <w:sz w:val="24"/>
          <w:szCs w:val="24"/>
        </w:rPr>
      </w:pPr>
      <w:r w:rsidRPr="00DA4FAF">
        <w:rPr>
          <w:rFonts w:asciiTheme="minorHAnsi" w:hAnsiTheme="minorHAnsi"/>
          <w:sz w:val="24"/>
          <w:szCs w:val="24"/>
          <w:u w:val="single"/>
        </w:rPr>
        <w:t>Factors that should be considered when simplifying the visa syste</w:t>
      </w:r>
      <w:r>
        <w:rPr>
          <w:rFonts w:asciiTheme="minorHAnsi" w:hAnsiTheme="minorHAnsi"/>
          <w:sz w:val="24"/>
          <w:szCs w:val="24"/>
          <w:u w:val="single"/>
        </w:rPr>
        <w:t>m</w:t>
      </w:r>
    </w:p>
    <w:p w:rsidR="00ED0D43" w:rsidRDefault="00ED0D43" w:rsidP="00ED0D43">
      <w:pPr>
        <w:widowControl w:val="0"/>
        <w:autoSpaceDE w:val="0"/>
        <w:autoSpaceDN w:val="0"/>
        <w:adjustRightInd w:val="0"/>
        <w:spacing w:after="0" w:line="240" w:lineRule="auto"/>
        <w:rPr>
          <w:rFonts w:asciiTheme="minorHAnsi" w:hAnsiTheme="minorHAnsi"/>
          <w:sz w:val="24"/>
          <w:szCs w:val="24"/>
        </w:rPr>
      </w:pPr>
    </w:p>
    <w:p w:rsidR="00F628BF" w:rsidRPr="00F01487" w:rsidRDefault="00F628BF" w:rsidP="00F628BF">
      <w:pPr>
        <w:pStyle w:val="ListParagraph"/>
        <w:widowControl w:val="0"/>
        <w:numPr>
          <w:ilvl w:val="0"/>
          <w:numId w:val="2"/>
        </w:numPr>
        <w:autoSpaceDE w:val="0"/>
        <w:autoSpaceDN w:val="0"/>
        <w:adjustRightInd w:val="0"/>
        <w:spacing w:after="0" w:line="240" w:lineRule="auto"/>
        <w:rPr>
          <w:rFonts w:asciiTheme="minorHAnsi" w:hAnsiTheme="minorHAnsi"/>
          <w:sz w:val="24"/>
          <w:szCs w:val="24"/>
        </w:rPr>
      </w:pPr>
      <w:r w:rsidRPr="00F01487">
        <w:rPr>
          <w:rFonts w:asciiTheme="minorHAnsi" w:hAnsiTheme="minorHAnsi"/>
          <w:sz w:val="24"/>
          <w:szCs w:val="24"/>
        </w:rPr>
        <w:t>Simplicity</w:t>
      </w:r>
      <w:r w:rsidR="00AC5C90">
        <w:rPr>
          <w:rFonts w:asciiTheme="minorHAnsi" w:hAnsiTheme="minorHAnsi"/>
          <w:sz w:val="24"/>
          <w:szCs w:val="24"/>
        </w:rPr>
        <w:t xml:space="preserve"> of process</w:t>
      </w:r>
    </w:p>
    <w:p w:rsidR="00F628BF" w:rsidRPr="00F01487" w:rsidRDefault="00F628BF" w:rsidP="00F628BF">
      <w:pPr>
        <w:pStyle w:val="ListParagraph"/>
        <w:widowControl w:val="0"/>
        <w:numPr>
          <w:ilvl w:val="0"/>
          <w:numId w:val="2"/>
        </w:numPr>
        <w:autoSpaceDE w:val="0"/>
        <w:autoSpaceDN w:val="0"/>
        <w:adjustRightInd w:val="0"/>
        <w:spacing w:after="0" w:line="240" w:lineRule="auto"/>
        <w:rPr>
          <w:rFonts w:asciiTheme="minorHAnsi" w:hAnsiTheme="minorHAnsi"/>
          <w:sz w:val="24"/>
          <w:szCs w:val="24"/>
        </w:rPr>
      </w:pPr>
      <w:r w:rsidRPr="00F01487">
        <w:rPr>
          <w:rFonts w:asciiTheme="minorHAnsi" w:hAnsiTheme="minorHAnsi"/>
          <w:sz w:val="24"/>
          <w:szCs w:val="24"/>
        </w:rPr>
        <w:t>Clarity</w:t>
      </w:r>
      <w:r w:rsidR="00AC5C90">
        <w:rPr>
          <w:rFonts w:asciiTheme="minorHAnsi" w:hAnsiTheme="minorHAnsi"/>
          <w:sz w:val="24"/>
          <w:szCs w:val="24"/>
        </w:rPr>
        <w:t xml:space="preserve"> in required documentation</w:t>
      </w:r>
    </w:p>
    <w:p w:rsidR="00F628BF" w:rsidRPr="00F01487" w:rsidRDefault="00F628BF" w:rsidP="00F628BF">
      <w:pPr>
        <w:pStyle w:val="ListParagraph"/>
        <w:widowControl w:val="0"/>
        <w:numPr>
          <w:ilvl w:val="0"/>
          <w:numId w:val="2"/>
        </w:numPr>
        <w:autoSpaceDE w:val="0"/>
        <w:autoSpaceDN w:val="0"/>
        <w:adjustRightInd w:val="0"/>
        <w:spacing w:after="0" w:line="240" w:lineRule="auto"/>
        <w:rPr>
          <w:rFonts w:asciiTheme="minorHAnsi" w:hAnsiTheme="minorHAnsi"/>
          <w:sz w:val="24"/>
          <w:szCs w:val="24"/>
        </w:rPr>
      </w:pPr>
      <w:r w:rsidRPr="00F01487">
        <w:rPr>
          <w:rFonts w:asciiTheme="minorHAnsi" w:hAnsiTheme="minorHAnsi"/>
          <w:sz w:val="24"/>
          <w:szCs w:val="24"/>
        </w:rPr>
        <w:t>Consistency</w:t>
      </w:r>
      <w:r w:rsidR="00AC5C90">
        <w:rPr>
          <w:rFonts w:asciiTheme="minorHAnsi" w:hAnsiTheme="minorHAnsi"/>
          <w:sz w:val="24"/>
          <w:szCs w:val="24"/>
        </w:rPr>
        <w:t xml:space="preserve"> in decisions</w:t>
      </w:r>
    </w:p>
    <w:p w:rsidR="00F628BF" w:rsidRPr="00F01487" w:rsidRDefault="00F628BF" w:rsidP="00F628BF">
      <w:pPr>
        <w:widowControl w:val="0"/>
        <w:autoSpaceDE w:val="0"/>
        <w:autoSpaceDN w:val="0"/>
        <w:adjustRightInd w:val="0"/>
        <w:spacing w:after="0" w:line="240" w:lineRule="auto"/>
        <w:rPr>
          <w:rFonts w:asciiTheme="minorHAnsi" w:hAnsiTheme="minorHAnsi"/>
          <w:sz w:val="24"/>
          <w:szCs w:val="24"/>
        </w:rPr>
      </w:pPr>
    </w:p>
    <w:p w:rsidR="00ED0D43" w:rsidRDefault="00F628BF" w:rsidP="00F628BF">
      <w:pPr>
        <w:widowControl w:val="0"/>
        <w:autoSpaceDE w:val="0"/>
        <w:autoSpaceDN w:val="0"/>
        <w:adjustRightInd w:val="0"/>
        <w:spacing w:after="0" w:line="240" w:lineRule="auto"/>
        <w:rPr>
          <w:rFonts w:asciiTheme="minorHAnsi" w:hAnsiTheme="minorHAnsi"/>
          <w:sz w:val="24"/>
          <w:szCs w:val="24"/>
        </w:rPr>
      </w:pPr>
      <w:r w:rsidRPr="00F01487">
        <w:rPr>
          <w:rFonts w:asciiTheme="minorHAnsi" w:hAnsiTheme="minorHAnsi"/>
          <w:sz w:val="24"/>
          <w:szCs w:val="24"/>
        </w:rPr>
        <w:t>It is important that information provided to applicants and those who</w:t>
      </w:r>
      <w:r w:rsidR="009B755E" w:rsidRPr="00F01487">
        <w:rPr>
          <w:rFonts w:asciiTheme="minorHAnsi" w:hAnsiTheme="minorHAnsi"/>
          <w:sz w:val="24"/>
          <w:szCs w:val="24"/>
        </w:rPr>
        <w:t xml:space="preserve"> assist them is unambiguous.</w:t>
      </w:r>
      <w:r w:rsidR="009B755E">
        <w:rPr>
          <w:rFonts w:asciiTheme="minorHAnsi" w:hAnsiTheme="minorHAnsi"/>
          <w:sz w:val="24"/>
          <w:szCs w:val="24"/>
        </w:rPr>
        <w:t xml:space="preserve"> </w:t>
      </w:r>
    </w:p>
    <w:p w:rsidR="00ED0D43" w:rsidRDefault="00ED0D43" w:rsidP="00F628BF">
      <w:pPr>
        <w:widowControl w:val="0"/>
        <w:autoSpaceDE w:val="0"/>
        <w:autoSpaceDN w:val="0"/>
        <w:adjustRightInd w:val="0"/>
        <w:spacing w:after="0" w:line="240" w:lineRule="auto"/>
        <w:rPr>
          <w:rFonts w:asciiTheme="minorHAnsi" w:hAnsiTheme="minorHAnsi"/>
          <w:sz w:val="24"/>
          <w:szCs w:val="24"/>
        </w:rPr>
      </w:pPr>
    </w:p>
    <w:p w:rsidR="00F102D0" w:rsidRDefault="00F102D0" w:rsidP="00F628BF">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While overall visa approvals have indicated a steady increase, there are nevertheless concerns. </w:t>
      </w:r>
      <w:r w:rsidR="00F01487">
        <w:rPr>
          <w:rFonts w:asciiTheme="minorHAnsi" w:hAnsiTheme="minorHAnsi"/>
          <w:sz w:val="24"/>
          <w:szCs w:val="24"/>
        </w:rPr>
        <w:t>The application process appears to be straight forward but this is not necessarily the case.</w:t>
      </w:r>
    </w:p>
    <w:p w:rsidR="00F01487" w:rsidRDefault="00F01487" w:rsidP="00F628BF">
      <w:pPr>
        <w:widowControl w:val="0"/>
        <w:autoSpaceDE w:val="0"/>
        <w:autoSpaceDN w:val="0"/>
        <w:adjustRightInd w:val="0"/>
        <w:spacing w:after="0" w:line="240" w:lineRule="auto"/>
        <w:rPr>
          <w:rFonts w:asciiTheme="minorHAnsi" w:hAnsiTheme="minorHAnsi"/>
          <w:sz w:val="24"/>
          <w:szCs w:val="24"/>
        </w:rPr>
      </w:pPr>
    </w:p>
    <w:p w:rsidR="00AC5C90" w:rsidRDefault="00AC5C90" w:rsidP="00F628BF">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It has been noted that p</w:t>
      </w:r>
      <w:r w:rsidR="00F01487">
        <w:rPr>
          <w:rFonts w:asciiTheme="minorHAnsi" w:hAnsiTheme="minorHAnsi"/>
          <w:sz w:val="24"/>
          <w:szCs w:val="24"/>
        </w:rPr>
        <w:t xml:space="preserve">otential students for the VET sector from an AL3 country or going to an AL3 provider </w:t>
      </w:r>
      <w:r>
        <w:rPr>
          <w:rFonts w:asciiTheme="minorHAnsi" w:hAnsiTheme="minorHAnsi"/>
          <w:sz w:val="24"/>
          <w:szCs w:val="24"/>
        </w:rPr>
        <w:t>have a higher risk of a visa refusal even with identical documentation of a student applying for a higher education place.</w:t>
      </w:r>
    </w:p>
    <w:p w:rsidR="00AC5C90" w:rsidRDefault="00AC5C90" w:rsidP="00F628BF">
      <w:pPr>
        <w:widowControl w:val="0"/>
        <w:autoSpaceDE w:val="0"/>
        <w:autoSpaceDN w:val="0"/>
        <w:adjustRightInd w:val="0"/>
        <w:spacing w:after="0" w:line="240" w:lineRule="auto"/>
        <w:rPr>
          <w:rFonts w:asciiTheme="minorHAnsi" w:hAnsiTheme="minorHAnsi"/>
          <w:sz w:val="24"/>
          <w:szCs w:val="24"/>
        </w:rPr>
      </w:pPr>
    </w:p>
    <w:p w:rsidR="00E26067" w:rsidRDefault="00E26067" w:rsidP="00F628BF">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It would be helpful for all parties external to DIBP (in this case, education providers) to be </w:t>
      </w:r>
      <w:r>
        <w:rPr>
          <w:rFonts w:asciiTheme="minorHAnsi" w:hAnsiTheme="minorHAnsi"/>
          <w:sz w:val="24"/>
          <w:szCs w:val="24"/>
        </w:rPr>
        <w:lastRenderedPageBreak/>
        <w:t>informed of errors and shortcomings in visa applications. General reasons for visa non-approval would:</w:t>
      </w:r>
    </w:p>
    <w:p w:rsidR="00E26067" w:rsidRDefault="00E26067" w:rsidP="00E26067">
      <w:pPr>
        <w:pStyle w:val="ListParagraph"/>
        <w:widowControl w:val="0"/>
        <w:numPr>
          <w:ilvl w:val="0"/>
          <w:numId w:val="5"/>
        </w:numPr>
        <w:autoSpaceDE w:val="0"/>
        <w:autoSpaceDN w:val="0"/>
        <w:adjustRightInd w:val="0"/>
        <w:spacing w:after="0" w:line="240" w:lineRule="auto"/>
        <w:rPr>
          <w:rFonts w:asciiTheme="minorHAnsi" w:hAnsiTheme="minorHAnsi"/>
          <w:sz w:val="24"/>
          <w:szCs w:val="24"/>
        </w:rPr>
      </w:pPr>
      <w:r w:rsidRPr="00E26067">
        <w:rPr>
          <w:rFonts w:asciiTheme="minorHAnsi" w:hAnsiTheme="minorHAnsi"/>
          <w:sz w:val="24"/>
          <w:szCs w:val="24"/>
        </w:rPr>
        <w:t xml:space="preserve">improve the application process </w:t>
      </w:r>
    </w:p>
    <w:p w:rsidR="00E26067" w:rsidRDefault="00E26067" w:rsidP="00E26067">
      <w:pPr>
        <w:pStyle w:val="ListParagraph"/>
        <w:widowControl w:val="0"/>
        <w:numPr>
          <w:ilvl w:val="0"/>
          <w:numId w:val="5"/>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potentially shorten</w:t>
      </w:r>
      <w:r w:rsidRPr="00E26067">
        <w:rPr>
          <w:rFonts w:asciiTheme="minorHAnsi" w:hAnsiTheme="minorHAnsi"/>
          <w:sz w:val="24"/>
          <w:szCs w:val="24"/>
        </w:rPr>
        <w:t xml:space="preserve"> the processing time</w:t>
      </w:r>
    </w:p>
    <w:p w:rsidR="00751FA7" w:rsidRDefault="00751FA7" w:rsidP="00E26067">
      <w:pPr>
        <w:pStyle w:val="ListParagraph"/>
        <w:widowControl w:val="0"/>
        <w:numPr>
          <w:ilvl w:val="0"/>
          <w:numId w:val="5"/>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improve the selection process so non-GTE students are not approved at the preliminary stage</w:t>
      </w:r>
    </w:p>
    <w:p w:rsidR="00751FA7" w:rsidRPr="00751FA7" w:rsidRDefault="00751FA7" w:rsidP="00751FA7">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At present, education providers </w:t>
      </w:r>
      <w:r>
        <w:rPr>
          <w:rFonts w:asciiTheme="minorHAnsi" w:hAnsiTheme="minorHAnsi"/>
          <w:sz w:val="24"/>
          <w:szCs w:val="24"/>
        </w:rPr>
        <w:t xml:space="preserve">accumulate information </w:t>
      </w:r>
      <w:r>
        <w:rPr>
          <w:rFonts w:asciiTheme="minorHAnsi" w:hAnsiTheme="minorHAnsi"/>
          <w:sz w:val="24"/>
          <w:szCs w:val="24"/>
        </w:rPr>
        <w:t>on what is required for a successful visa application through visa rejections from potential students who have apparently met all known criteria.</w:t>
      </w:r>
    </w:p>
    <w:p w:rsidR="00E26067" w:rsidRDefault="00E26067" w:rsidP="00F628BF">
      <w:pPr>
        <w:widowControl w:val="0"/>
        <w:autoSpaceDE w:val="0"/>
        <w:autoSpaceDN w:val="0"/>
        <w:adjustRightInd w:val="0"/>
        <w:spacing w:after="0" w:line="240" w:lineRule="auto"/>
        <w:rPr>
          <w:rFonts w:asciiTheme="minorHAnsi" w:hAnsiTheme="minorHAnsi"/>
          <w:sz w:val="24"/>
          <w:szCs w:val="24"/>
        </w:rPr>
      </w:pPr>
    </w:p>
    <w:p w:rsidR="008B76E7" w:rsidRDefault="00AC5C90" w:rsidP="00F628BF">
      <w:pPr>
        <w:widowControl w:val="0"/>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 </w:t>
      </w:r>
      <w:r w:rsidR="008B76E7">
        <w:rPr>
          <w:rFonts w:asciiTheme="minorHAnsi" w:hAnsiTheme="minorHAnsi"/>
          <w:sz w:val="24"/>
          <w:szCs w:val="24"/>
        </w:rPr>
        <w:t>The difficulty with the present system are as follows:</w:t>
      </w:r>
    </w:p>
    <w:p w:rsidR="008B76E7" w:rsidRDefault="00F102D0" w:rsidP="008B76E7">
      <w:pPr>
        <w:pStyle w:val="ListParagraph"/>
        <w:widowControl w:val="0"/>
        <w:numPr>
          <w:ilvl w:val="0"/>
          <w:numId w:val="3"/>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GTE policy guidelines to DIBP give no weightings, examples or standards that might guide decision makers</w:t>
      </w:r>
    </w:p>
    <w:p w:rsidR="00F102D0" w:rsidRDefault="00F102D0" w:rsidP="008B76E7">
      <w:pPr>
        <w:pStyle w:val="ListParagraph"/>
        <w:widowControl w:val="0"/>
        <w:numPr>
          <w:ilvl w:val="0"/>
          <w:numId w:val="3"/>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The GTE criteria are open to a wide range of interpretation</w:t>
      </w:r>
    </w:p>
    <w:p w:rsidR="00F102D0" w:rsidRDefault="00F102D0" w:rsidP="008B76E7">
      <w:pPr>
        <w:pStyle w:val="ListParagraph"/>
        <w:widowControl w:val="0"/>
        <w:numPr>
          <w:ilvl w:val="0"/>
          <w:numId w:val="3"/>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Offshore visa refusals based on GTE do not allow for a review</w:t>
      </w:r>
    </w:p>
    <w:p w:rsidR="00F102D0" w:rsidRDefault="00F102D0" w:rsidP="008B76E7">
      <w:pPr>
        <w:pStyle w:val="ListParagraph"/>
        <w:widowControl w:val="0"/>
        <w:numPr>
          <w:ilvl w:val="0"/>
          <w:numId w:val="3"/>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Applicants are rarely asked to provide additional information which may assist</w:t>
      </w:r>
      <w:r w:rsidR="00F1695E">
        <w:rPr>
          <w:rFonts w:asciiTheme="minorHAnsi" w:hAnsiTheme="minorHAnsi"/>
          <w:sz w:val="24"/>
          <w:szCs w:val="24"/>
        </w:rPr>
        <w:t xml:space="preserve"> the approval process</w:t>
      </w:r>
    </w:p>
    <w:p w:rsidR="00F1695E" w:rsidRPr="008B76E7" w:rsidRDefault="00F1695E" w:rsidP="008B76E7">
      <w:pPr>
        <w:pStyle w:val="ListParagraph"/>
        <w:widowControl w:val="0"/>
        <w:numPr>
          <w:ilvl w:val="0"/>
          <w:numId w:val="3"/>
        </w:numPr>
        <w:autoSpaceDE w:val="0"/>
        <w:autoSpaceDN w:val="0"/>
        <w:adjustRightInd w:val="0"/>
        <w:spacing w:after="0" w:line="240" w:lineRule="auto"/>
        <w:rPr>
          <w:rFonts w:asciiTheme="minorHAnsi" w:hAnsiTheme="minorHAnsi"/>
          <w:sz w:val="24"/>
          <w:szCs w:val="24"/>
        </w:rPr>
      </w:pPr>
      <w:r>
        <w:rPr>
          <w:rFonts w:asciiTheme="minorHAnsi" w:hAnsiTheme="minorHAnsi"/>
          <w:sz w:val="24"/>
          <w:szCs w:val="24"/>
        </w:rPr>
        <w:t xml:space="preserve">Providers are required to assess off-shore applications without the information and resources of DIBP. When visa applications are rejected, the provider is not advised of the reasons. They are however, impacted by the negative decision through their risk ratings. </w:t>
      </w:r>
    </w:p>
    <w:p w:rsidR="004C3208" w:rsidRPr="00734856" w:rsidRDefault="004C3208" w:rsidP="004C3208">
      <w:pPr>
        <w:numPr>
          <w:ilvl w:val="0"/>
          <w:numId w:val="1"/>
        </w:numPr>
        <w:spacing w:after="0" w:line="240" w:lineRule="auto"/>
        <w:rPr>
          <w:rFonts w:asciiTheme="minorHAnsi" w:eastAsiaTheme="minorHAnsi" w:hAnsiTheme="minorHAnsi" w:cstheme="minorHAnsi"/>
          <w:sz w:val="24"/>
          <w:szCs w:val="24"/>
          <w:lang w:val="en-US"/>
        </w:rPr>
      </w:pPr>
      <w:r w:rsidRPr="00734856">
        <w:rPr>
          <w:rFonts w:asciiTheme="minorHAnsi" w:hAnsiTheme="minorHAnsi" w:cstheme="minorHAnsi"/>
          <w:sz w:val="24"/>
          <w:szCs w:val="24"/>
          <w:lang w:val="en-US"/>
        </w:rPr>
        <w:t>Simplifying Visa extensions and lowering the cost for students and their accompanying family</w:t>
      </w:r>
    </w:p>
    <w:p w:rsidR="004C3208" w:rsidRPr="00734856" w:rsidRDefault="004C3208" w:rsidP="004C3208">
      <w:pPr>
        <w:numPr>
          <w:ilvl w:val="0"/>
          <w:numId w:val="1"/>
        </w:numPr>
        <w:spacing w:after="0" w:line="240" w:lineRule="auto"/>
        <w:rPr>
          <w:rFonts w:asciiTheme="minorHAnsi" w:hAnsiTheme="minorHAnsi" w:cstheme="minorHAnsi"/>
          <w:sz w:val="24"/>
          <w:szCs w:val="24"/>
          <w:lang w:val="en-US"/>
        </w:rPr>
      </w:pPr>
      <w:r w:rsidRPr="00734856">
        <w:rPr>
          <w:rFonts w:asciiTheme="minorHAnsi" w:hAnsiTheme="minorHAnsi" w:cstheme="minorHAnsi"/>
          <w:sz w:val="24"/>
          <w:szCs w:val="24"/>
          <w:lang w:val="en-US"/>
        </w:rPr>
        <w:t>Encouragement of families to visit Australia while their children are studying here</w:t>
      </w:r>
    </w:p>
    <w:p w:rsidR="004C3208" w:rsidRPr="00734856" w:rsidRDefault="004C3208" w:rsidP="004C3208">
      <w:pPr>
        <w:numPr>
          <w:ilvl w:val="0"/>
          <w:numId w:val="1"/>
        </w:numPr>
        <w:spacing w:after="0" w:line="240" w:lineRule="auto"/>
        <w:rPr>
          <w:rFonts w:asciiTheme="minorHAnsi" w:hAnsiTheme="minorHAnsi" w:cstheme="minorHAnsi"/>
          <w:sz w:val="24"/>
          <w:szCs w:val="24"/>
          <w:lang w:val="en-US"/>
        </w:rPr>
      </w:pPr>
      <w:r w:rsidRPr="00734856">
        <w:rPr>
          <w:rFonts w:asciiTheme="minorHAnsi" w:hAnsiTheme="minorHAnsi" w:cstheme="minorHAnsi"/>
          <w:sz w:val="24"/>
          <w:szCs w:val="24"/>
          <w:lang w:val="en-US"/>
        </w:rPr>
        <w:t>Allowing medical checks for Visa extensions to be conducted by any licensed GP</w:t>
      </w:r>
    </w:p>
    <w:p w:rsidR="004C3208" w:rsidRPr="00734856" w:rsidRDefault="004C3208" w:rsidP="004C3208">
      <w:pPr>
        <w:numPr>
          <w:ilvl w:val="0"/>
          <w:numId w:val="1"/>
        </w:numPr>
        <w:spacing w:after="0" w:line="240" w:lineRule="auto"/>
        <w:rPr>
          <w:rFonts w:asciiTheme="minorHAnsi" w:hAnsiTheme="minorHAnsi" w:cstheme="minorHAnsi"/>
          <w:sz w:val="24"/>
          <w:szCs w:val="24"/>
          <w:lang w:val="en-US"/>
        </w:rPr>
      </w:pPr>
      <w:r w:rsidRPr="00734856">
        <w:rPr>
          <w:rFonts w:asciiTheme="minorHAnsi" w:hAnsiTheme="minorHAnsi" w:cstheme="minorHAnsi"/>
          <w:sz w:val="24"/>
          <w:szCs w:val="24"/>
          <w:lang w:val="en-US"/>
        </w:rPr>
        <w:t>Visa Caseloads – ensure Case Managers contact Providers if there is a question/issue before making a final decision</w:t>
      </w:r>
    </w:p>
    <w:p w:rsidR="004C3208" w:rsidRDefault="004C3208" w:rsidP="004C3208">
      <w:pPr>
        <w:numPr>
          <w:ilvl w:val="0"/>
          <w:numId w:val="1"/>
        </w:numPr>
        <w:spacing w:after="0" w:line="240" w:lineRule="auto"/>
        <w:rPr>
          <w:rFonts w:asciiTheme="minorHAnsi" w:hAnsiTheme="minorHAnsi" w:cstheme="minorHAnsi"/>
          <w:sz w:val="24"/>
          <w:szCs w:val="24"/>
          <w:lang w:val="en-US"/>
        </w:rPr>
      </w:pPr>
      <w:r w:rsidRPr="00734856">
        <w:rPr>
          <w:rFonts w:asciiTheme="minorHAnsi" w:hAnsiTheme="minorHAnsi" w:cstheme="minorHAnsi"/>
          <w:sz w:val="24"/>
          <w:szCs w:val="24"/>
          <w:lang w:val="en-US"/>
        </w:rPr>
        <w:t>Case Managers need to listen to Providers who call on behalf of a student to point out an error or inconsistency – currently an expensive appeal is the only way to challenge a decision</w:t>
      </w:r>
    </w:p>
    <w:p w:rsidR="00751FA7" w:rsidRDefault="00751FA7" w:rsidP="00751FA7">
      <w:pPr>
        <w:spacing w:after="0" w:line="240" w:lineRule="auto"/>
        <w:rPr>
          <w:rFonts w:asciiTheme="minorHAnsi" w:hAnsiTheme="minorHAnsi" w:cstheme="minorHAnsi"/>
          <w:sz w:val="24"/>
          <w:szCs w:val="24"/>
          <w:lang w:val="en-US"/>
        </w:rPr>
      </w:pPr>
    </w:p>
    <w:p w:rsidR="00751FA7" w:rsidRPr="00734856" w:rsidRDefault="00751FA7" w:rsidP="00751FA7">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With respect to compliance checks on holders of student visas, ISANA recommends</w:t>
      </w:r>
    </w:p>
    <w:p w:rsidR="004C3208" w:rsidRPr="00734856" w:rsidRDefault="004C3208" w:rsidP="004C3208">
      <w:pPr>
        <w:numPr>
          <w:ilvl w:val="0"/>
          <w:numId w:val="1"/>
        </w:numPr>
        <w:spacing w:after="0" w:line="240" w:lineRule="auto"/>
        <w:rPr>
          <w:rFonts w:asciiTheme="minorHAnsi" w:hAnsiTheme="minorHAnsi" w:cstheme="minorHAnsi"/>
          <w:sz w:val="24"/>
          <w:szCs w:val="24"/>
          <w:lang w:val="en-US"/>
        </w:rPr>
      </w:pPr>
      <w:r w:rsidRPr="00734856">
        <w:rPr>
          <w:rFonts w:asciiTheme="minorHAnsi" w:hAnsiTheme="minorHAnsi" w:cstheme="minorHAnsi"/>
          <w:sz w:val="24"/>
          <w:szCs w:val="24"/>
          <w:lang w:val="en-US"/>
        </w:rPr>
        <w:t>the Government systematize student checks (once, twice yearly) to determine:</w:t>
      </w:r>
    </w:p>
    <w:p w:rsidR="004C3208" w:rsidRPr="00734856" w:rsidRDefault="004C3208" w:rsidP="004C3208">
      <w:pPr>
        <w:numPr>
          <w:ilvl w:val="1"/>
          <w:numId w:val="1"/>
        </w:numPr>
        <w:spacing w:after="0" w:line="240" w:lineRule="auto"/>
        <w:rPr>
          <w:rFonts w:asciiTheme="minorHAnsi" w:hAnsiTheme="minorHAnsi" w:cstheme="minorHAnsi"/>
          <w:sz w:val="24"/>
          <w:szCs w:val="24"/>
          <w:lang w:val="en-US"/>
        </w:rPr>
      </w:pPr>
      <w:r w:rsidRPr="00734856">
        <w:rPr>
          <w:rFonts w:asciiTheme="minorHAnsi" w:hAnsiTheme="minorHAnsi" w:cstheme="minorHAnsi"/>
          <w:sz w:val="24"/>
          <w:szCs w:val="24"/>
          <w:lang w:val="en-US"/>
        </w:rPr>
        <w:t>Has a student moved Provider</w:t>
      </w:r>
      <w:r w:rsidR="00751FA7">
        <w:rPr>
          <w:rFonts w:asciiTheme="minorHAnsi" w:hAnsiTheme="minorHAnsi" w:cstheme="minorHAnsi"/>
          <w:sz w:val="24"/>
          <w:szCs w:val="24"/>
          <w:lang w:val="en-US"/>
        </w:rPr>
        <w:t>;</w:t>
      </w:r>
      <w:r w:rsidRPr="00734856">
        <w:rPr>
          <w:rFonts w:asciiTheme="minorHAnsi" w:hAnsiTheme="minorHAnsi" w:cstheme="minorHAnsi"/>
          <w:sz w:val="24"/>
          <w:szCs w:val="24"/>
          <w:lang w:val="en-US"/>
        </w:rPr>
        <w:t xml:space="preserve"> </w:t>
      </w:r>
    </w:p>
    <w:p w:rsidR="004C3208" w:rsidRPr="00734856" w:rsidRDefault="004C3208" w:rsidP="004C3208">
      <w:pPr>
        <w:numPr>
          <w:ilvl w:val="1"/>
          <w:numId w:val="1"/>
        </w:numPr>
        <w:spacing w:after="0" w:line="240" w:lineRule="auto"/>
        <w:rPr>
          <w:rFonts w:asciiTheme="minorHAnsi" w:hAnsiTheme="minorHAnsi" w:cstheme="minorHAnsi"/>
          <w:sz w:val="24"/>
          <w:szCs w:val="24"/>
          <w:lang w:val="en-US"/>
        </w:rPr>
      </w:pPr>
      <w:r w:rsidRPr="00734856">
        <w:rPr>
          <w:rFonts w:asciiTheme="minorHAnsi" w:hAnsiTheme="minorHAnsi" w:cstheme="minorHAnsi"/>
          <w:sz w:val="24"/>
          <w:szCs w:val="24"/>
          <w:lang w:val="en-US"/>
        </w:rPr>
        <w:t>Has a student changed their course</w:t>
      </w:r>
      <w:r w:rsidR="00751FA7">
        <w:rPr>
          <w:rFonts w:asciiTheme="minorHAnsi" w:hAnsiTheme="minorHAnsi" w:cstheme="minorHAnsi"/>
          <w:sz w:val="24"/>
          <w:szCs w:val="24"/>
          <w:lang w:val="en-US"/>
        </w:rPr>
        <w:t>;</w:t>
      </w:r>
      <w:r w:rsidRPr="00734856">
        <w:rPr>
          <w:rFonts w:asciiTheme="minorHAnsi" w:hAnsiTheme="minorHAnsi" w:cstheme="minorHAnsi"/>
          <w:sz w:val="24"/>
          <w:szCs w:val="24"/>
          <w:lang w:val="en-US"/>
        </w:rPr>
        <w:t xml:space="preserve"> </w:t>
      </w:r>
    </w:p>
    <w:p w:rsidR="00751FA7" w:rsidRPr="00751FA7" w:rsidRDefault="004C3208" w:rsidP="00751FA7">
      <w:pPr>
        <w:pStyle w:val="ListParagraph"/>
        <w:numPr>
          <w:ilvl w:val="1"/>
          <w:numId w:val="1"/>
        </w:numPr>
        <w:spacing w:after="0" w:line="240" w:lineRule="auto"/>
        <w:rPr>
          <w:rFonts w:asciiTheme="minorHAnsi" w:hAnsiTheme="minorHAnsi" w:cstheme="minorHAnsi"/>
          <w:sz w:val="24"/>
          <w:szCs w:val="24"/>
          <w:lang w:val="en-US"/>
        </w:rPr>
      </w:pPr>
      <w:r w:rsidRPr="00751FA7">
        <w:rPr>
          <w:rFonts w:asciiTheme="minorHAnsi" w:hAnsiTheme="minorHAnsi" w:cstheme="minorHAnsi"/>
          <w:sz w:val="24"/>
          <w:szCs w:val="24"/>
          <w:lang w:val="en-US"/>
        </w:rPr>
        <w:t xml:space="preserve">Has a student not enrolled for a period longer than 2 months (10 weeks) </w:t>
      </w:r>
    </w:p>
    <w:p w:rsidR="00751FA7" w:rsidRDefault="00751FA7" w:rsidP="00751FA7">
      <w:pPr>
        <w:spacing w:after="0" w:line="240" w:lineRule="auto"/>
        <w:ind w:left="360"/>
        <w:rPr>
          <w:rFonts w:asciiTheme="minorHAnsi" w:hAnsiTheme="minorHAnsi" w:cstheme="minorHAnsi"/>
          <w:sz w:val="24"/>
          <w:szCs w:val="24"/>
          <w:lang w:val="en-US"/>
        </w:rPr>
      </w:pPr>
    </w:p>
    <w:p w:rsidR="00461856" w:rsidRPr="00751FA7" w:rsidRDefault="00751FA7" w:rsidP="00751FA7">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T</w:t>
      </w:r>
      <w:r w:rsidR="004C3208" w:rsidRPr="00751FA7">
        <w:rPr>
          <w:rFonts w:asciiTheme="minorHAnsi" w:hAnsiTheme="minorHAnsi" w:cstheme="minorHAnsi"/>
          <w:sz w:val="24"/>
          <w:szCs w:val="24"/>
          <w:lang w:val="en-US"/>
        </w:rPr>
        <w:t xml:space="preserve">his </w:t>
      </w:r>
      <w:r>
        <w:rPr>
          <w:rFonts w:asciiTheme="minorHAnsi" w:hAnsiTheme="minorHAnsi" w:cstheme="minorHAnsi"/>
          <w:sz w:val="24"/>
          <w:szCs w:val="24"/>
          <w:lang w:val="en-US"/>
        </w:rPr>
        <w:t xml:space="preserve">potentially </w:t>
      </w:r>
      <w:bookmarkStart w:id="0" w:name="_GoBack"/>
      <w:bookmarkEnd w:id="0"/>
      <w:r w:rsidR="004C3208" w:rsidRPr="00751FA7">
        <w:rPr>
          <w:rFonts w:asciiTheme="minorHAnsi" w:hAnsiTheme="minorHAnsi" w:cstheme="minorHAnsi"/>
          <w:sz w:val="24"/>
          <w:szCs w:val="24"/>
          <w:lang w:val="en-US"/>
        </w:rPr>
        <w:t>could discourage students from doing the ‘wrong thing’ knowing they are being monitored and allow the Government more faith that students are doing the ‘right thing’.</w:t>
      </w:r>
      <w:r w:rsidR="00461856" w:rsidRPr="00751FA7">
        <w:rPr>
          <w:rFonts w:asciiTheme="minorHAnsi" w:hAnsiTheme="minorHAnsi" w:cstheme="minorHAnsi"/>
          <w:sz w:val="24"/>
          <w:szCs w:val="24"/>
          <w:lang w:val="en-US"/>
        </w:rPr>
        <w:t xml:space="preserve"> </w:t>
      </w:r>
    </w:p>
    <w:p w:rsidR="009740FA" w:rsidRPr="009B34F8" w:rsidRDefault="009740FA">
      <w:pPr>
        <w:rPr>
          <w:sz w:val="24"/>
          <w:szCs w:val="24"/>
        </w:rPr>
      </w:pPr>
    </w:p>
    <w:sectPr w:rsidR="009740FA" w:rsidRPr="009B3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40FF7"/>
    <w:multiLevelType w:val="hybridMultilevel"/>
    <w:tmpl w:val="66147D7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 w15:restartNumberingAfterBreak="0">
    <w:nsid w:val="4CFC20FC"/>
    <w:multiLevelType w:val="hybridMultilevel"/>
    <w:tmpl w:val="4F7E2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1DB4FFE"/>
    <w:multiLevelType w:val="hybridMultilevel"/>
    <w:tmpl w:val="F3349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4EE4B67"/>
    <w:multiLevelType w:val="hybridMultilevel"/>
    <w:tmpl w:val="E5C089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D310CD6"/>
    <w:multiLevelType w:val="hybridMultilevel"/>
    <w:tmpl w:val="92462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F8"/>
    <w:rsid w:val="000356CF"/>
    <w:rsid w:val="00061948"/>
    <w:rsid w:val="000C0C47"/>
    <w:rsid w:val="000D205B"/>
    <w:rsid w:val="001D0569"/>
    <w:rsid w:val="00212345"/>
    <w:rsid w:val="00295A60"/>
    <w:rsid w:val="00372F06"/>
    <w:rsid w:val="003C29AF"/>
    <w:rsid w:val="00441A8B"/>
    <w:rsid w:val="00461856"/>
    <w:rsid w:val="004C3208"/>
    <w:rsid w:val="004C3E5E"/>
    <w:rsid w:val="004C7551"/>
    <w:rsid w:val="0052660F"/>
    <w:rsid w:val="00586DFD"/>
    <w:rsid w:val="00734856"/>
    <w:rsid w:val="00751FA7"/>
    <w:rsid w:val="00773EB7"/>
    <w:rsid w:val="007A0256"/>
    <w:rsid w:val="007B6F86"/>
    <w:rsid w:val="007C324A"/>
    <w:rsid w:val="007F2F97"/>
    <w:rsid w:val="008B76E7"/>
    <w:rsid w:val="0093264A"/>
    <w:rsid w:val="009740FA"/>
    <w:rsid w:val="009B34F8"/>
    <w:rsid w:val="009B755E"/>
    <w:rsid w:val="00A201BE"/>
    <w:rsid w:val="00A94CA8"/>
    <w:rsid w:val="00AC5C90"/>
    <w:rsid w:val="00BE1149"/>
    <w:rsid w:val="00BE56A3"/>
    <w:rsid w:val="00C801FC"/>
    <w:rsid w:val="00C81DD0"/>
    <w:rsid w:val="00CE10D8"/>
    <w:rsid w:val="00DA4FAF"/>
    <w:rsid w:val="00E112AB"/>
    <w:rsid w:val="00E26067"/>
    <w:rsid w:val="00E55B50"/>
    <w:rsid w:val="00E608A7"/>
    <w:rsid w:val="00ED0D43"/>
    <w:rsid w:val="00F01487"/>
    <w:rsid w:val="00F02F0C"/>
    <w:rsid w:val="00F102D0"/>
    <w:rsid w:val="00F1695E"/>
    <w:rsid w:val="00F35D6C"/>
    <w:rsid w:val="00F62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EA3E"/>
  <w15:chartTrackingRefBased/>
  <w15:docId w15:val="{DE83A968-8F7A-41CE-83C5-118C0E474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B34F8"/>
    <w:pPr>
      <w:spacing w:after="120" w:line="276" w:lineRule="auto"/>
    </w:pPr>
    <w:rPr>
      <w:rFonts w:asciiTheme="majorHAnsi" w:eastAsia="Calibri" w:hAnsiTheme="majorHAnsi" w:cs="Times New Roman"/>
      <w:lang w:val="en-AU"/>
    </w:rPr>
  </w:style>
  <w:style w:type="paragraph" w:styleId="Heading1">
    <w:name w:val="heading 1"/>
    <w:basedOn w:val="Normal"/>
    <w:link w:val="Heading1Char"/>
    <w:uiPriority w:val="9"/>
    <w:qFormat/>
    <w:rsid w:val="009B34F8"/>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4F8"/>
    <w:rPr>
      <w:rFonts w:ascii="Times New Roman" w:eastAsia="Times New Roman" w:hAnsi="Times New Roman" w:cs="Times New Roman"/>
      <w:b/>
      <w:bCs/>
      <w:kern w:val="36"/>
      <w:sz w:val="48"/>
      <w:szCs w:val="48"/>
      <w:lang w:val="en-AU" w:eastAsia="en-AU"/>
    </w:rPr>
  </w:style>
  <w:style w:type="paragraph" w:customStyle="1" w:styleId="selectionshareable">
    <w:name w:val="selectionshareable"/>
    <w:basedOn w:val="Normal"/>
    <w:rsid w:val="0052660F"/>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F628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81146">
      <w:bodyDiv w:val="1"/>
      <w:marLeft w:val="0"/>
      <w:marRight w:val="0"/>
      <w:marTop w:val="0"/>
      <w:marBottom w:val="0"/>
      <w:divBdr>
        <w:top w:val="none" w:sz="0" w:space="0" w:color="auto"/>
        <w:left w:val="none" w:sz="0" w:space="0" w:color="auto"/>
        <w:bottom w:val="none" w:sz="0" w:space="0" w:color="auto"/>
        <w:right w:val="none" w:sz="0" w:space="0" w:color="auto"/>
      </w:divBdr>
    </w:div>
    <w:div w:id="196430502">
      <w:bodyDiv w:val="1"/>
      <w:marLeft w:val="0"/>
      <w:marRight w:val="0"/>
      <w:marTop w:val="0"/>
      <w:marBottom w:val="0"/>
      <w:divBdr>
        <w:top w:val="none" w:sz="0" w:space="0" w:color="auto"/>
        <w:left w:val="none" w:sz="0" w:space="0" w:color="auto"/>
        <w:bottom w:val="none" w:sz="0" w:space="0" w:color="auto"/>
        <w:right w:val="none" w:sz="0" w:space="0" w:color="auto"/>
      </w:divBdr>
    </w:div>
    <w:div w:id="30081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AB278AFA82D4A97ABAF74DF46C099" ma:contentTypeVersion="19" ma:contentTypeDescription="Create a new document." ma:contentTypeScope="" ma:versionID="6269953a42a1ffed2162bf49da81a5ad">
  <xsd:schema xmlns:xsd="http://www.w3.org/2001/XMLSchema" xmlns:xs="http://www.w3.org/2001/XMLSchema" xmlns:p="http://schemas.microsoft.com/office/2006/metadata/properties" xmlns:ns2="614eb5ac-d6cd-4f59-a3aa-744c9766c7ff" xmlns:ns3="767fe1fb-a778-4607-880f-66c4ec81c6ad" targetNamespace="http://schemas.microsoft.com/office/2006/metadata/properties" ma:root="true" ma:fieldsID="46826218a069e493fa1ab9d84cd86802" ns2:_="" ns3:_="">
    <xsd:import namespace="614eb5ac-d6cd-4f59-a3aa-744c9766c7ff"/>
    <xsd:import namespace="767fe1fb-a778-4607-880f-66c4ec81c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eb5ac-d6cd-4f59-a3aa-744c9766c7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12c2ea-3e67-4785-8bf5-4f19be5ec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fe1fb-a778-4607-880f-66c4ec81c6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4620d9-cf6e-4e80-bb36-7d0e92f1d687}" ma:internalName="TaxCatchAll" ma:showField="CatchAllData" ma:web="767fe1fb-a778-4607-880f-66c4ec81c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7fe1fb-a778-4607-880f-66c4ec81c6ad" xsi:nil="true"/>
    <lcf76f155ced4ddcb4097134ff3c332f xmlns="614eb5ac-d6cd-4f59-a3aa-744c9766c7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56C9E8-6C5A-41F5-8572-B07BA0DFC2F1}"/>
</file>

<file path=customXml/itemProps2.xml><?xml version="1.0" encoding="utf-8"?>
<ds:datastoreItem xmlns:ds="http://schemas.openxmlformats.org/officeDocument/2006/customXml" ds:itemID="{DBD9268A-CCCB-492F-9325-9997F9BE9956}"/>
</file>

<file path=customXml/itemProps3.xml><?xml version="1.0" encoding="utf-8"?>
<ds:datastoreItem xmlns:ds="http://schemas.openxmlformats.org/officeDocument/2006/customXml" ds:itemID="{AC70A119-BDEC-483F-B1E6-CB2BB28D7700}"/>
</file>

<file path=docProps/app.xml><?xml version="1.0" encoding="utf-8"?>
<Properties xmlns="http://schemas.openxmlformats.org/officeDocument/2006/extended-properties" xmlns:vt="http://schemas.openxmlformats.org/officeDocument/2006/docPropsVTypes">
  <Template>Normal</Template>
  <TotalTime>928</TotalTime>
  <Pages>3</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Seow</dc:creator>
  <cp:keywords/>
  <dc:description/>
  <cp:lastModifiedBy>Mary-Ann Seow</cp:lastModifiedBy>
  <cp:revision>8</cp:revision>
  <dcterms:created xsi:type="dcterms:W3CDTF">2017-09-08T04:08:00Z</dcterms:created>
  <dcterms:modified xsi:type="dcterms:W3CDTF">2017-09-11T04:00:00Z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0x010100E4EAB278AFA82D4A97ABAF74DF46C099</vt:lpwstr>
  </property>
</Properties>
</file>